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FEF" w:rsidRPr="009C432A" w:rsidRDefault="00E35FEF" w:rsidP="00654398">
      <w:pPr>
        <w:jc w:val="center"/>
      </w:pPr>
      <w:r w:rsidRPr="00E35FEF">
        <w:rPr>
          <w:rFonts w:ascii="Arial" w:eastAsia="Arial" w:hAnsi="Arial" w:cs="Arial"/>
          <w:noProof/>
          <w:lang w:eastAsia="el-GR"/>
        </w:rPr>
        <w:drawing>
          <wp:inline distT="0" distB="0" distL="0" distR="0" wp14:anchorId="04DCBD68" wp14:editId="235AE9F1">
            <wp:extent cx="2763644" cy="715617"/>
            <wp:effectExtent l="0" t="0" r="0" b="8890"/>
            <wp:docPr id="2" name="Εικόνα 2" descr="C:\Users\dkemas\Desktop\mai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kemas\Desktop\main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5934" cy="716210"/>
                    </a:xfrm>
                    <a:prstGeom prst="rect">
                      <a:avLst/>
                    </a:prstGeom>
                    <a:noFill/>
                    <a:ln>
                      <a:noFill/>
                    </a:ln>
                  </pic:spPr>
                </pic:pic>
              </a:graphicData>
            </a:graphic>
          </wp:inline>
        </w:drawing>
      </w:r>
    </w:p>
    <w:p w:rsidR="00E35FEF" w:rsidRPr="00ED3006" w:rsidRDefault="00E35FEF" w:rsidP="009C432A">
      <w:pPr>
        <w:jc w:val="center"/>
        <w:rPr>
          <w:b/>
          <w:sz w:val="24"/>
          <w:szCs w:val="24"/>
        </w:rPr>
      </w:pPr>
      <w:r w:rsidRPr="00ED3006">
        <w:rPr>
          <w:b/>
          <w:sz w:val="24"/>
          <w:szCs w:val="24"/>
        </w:rPr>
        <w:t>ΕΝΗΜΕΡΩΤΙΚΟ ΣΗΜΕΙΩΜΑ ΓΙΑ ΑΠΟΦΟΙΤΟΥΣ ΕΠΑ.Λ. ΠΟΥ ΕΠΙΘΥΜΟΥΝ ΝΑ ΣΥΜΜΕΤΑΣΧΟΥΝ ΣΤΗΝ ΠΙΛΟΤΙΚΗ ΤΑΞΗ ΜΑΘΗΤΕΙΑΣ</w:t>
      </w:r>
    </w:p>
    <w:p w:rsidR="00E35FEF" w:rsidRPr="00C23954" w:rsidRDefault="00E35FEF" w:rsidP="00E35FEF">
      <w:pPr>
        <w:jc w:val="center"/>
        <w:rPr>
          <w:b/>
          <w:i/>
        </w:rPr>
      </w:pPr>
      <w:r w:rsidRPr="00654398">
        <w:rPr>
          <w:b/>
          <w:i/>
        </w:rPr>
        <w:t>ΓΕΝΙΚΑ</w:t>
      </w:r>
    </w:p>
    <w:p w:rsidR="00E35FEF" w:rsidRDefault="00E35FEF" w:rsidP="00E35FEF">
      <w:pPr>
        <w:jc w:val="both"/>
      </w:pPr>
      <w:r>
        <w:tab/>
        <w:t>Η πιλοτική «Τάξη Μαθητείας» είναι ένα διϋπουργικό πρόγραμμα των Υπ. Παιδείας Έρευνας &amp; Θρησκευμάτων και Υπ. Εργασίας, Κοινωνικής Ασφάλισης &amp;</w:t>
      </w:r>
      <w:r w:rsidRPr="00E35FEF">
        <w:t xml:space="preserve"> </w:t>
      </w:r>
      <w:r>
        <w:t xml:space="preserve">Κοινωνικής Αλληλεγγύης σε συνεργασία με τον ΟΑΕΔ. Στόχος του είναι να δοθεί η δυνατότητα σε νέους, κατόχους πτυχίου του Δευτεροβάθμιου Κύκλου Σπουδών του ΕΠΑ.Λ των τελευταίων σχολικών ετών που βρίσκονται εκτός εκπαίδευσης κατάρτισης και εργασίας να αποκτήσουν την πρώτη τους επαφή με την αγορά εργασίας. Το πρόγραμμα θα έχει διάρκεια εννέα (9) μηνών. Η έναρξη του προγράμματος θα πραγματοποιηθεί τον Απρίλιο του2016 και θα ολοκληρωθεί κατά το σχολικό έτος 2016-2017, ακολουθώντας το πρόγραμμα διδασκαλίας των σχολικών μονάδων της δημόσιας εκπαίδευσης. Επιπλέον στόχοι του </w:t>
      </w:r>
      <w:r w:rsidR="00654398">
        <w:t xml:space="preserve">προγράμματος </w:t>
      </w:r>
      <w:r>
        <w:t>είναι:</w:t>
      </w:r>
    </w:p>
    <w:p w:rsidR="00E35FEF" w:rsidRDefault="00E35FEF" w:rsidP="00ED3006">
      <w:pPr>
        <w:pStyle w:val="a6"/>
        <w:numPr>
          <w:ilvl w:val="0"/>
          <w:numId w:val="5"/>
        </w:numPr>
        <w:ind w:left="567" w:hanging="567"/>
        <w:jc w:val="both"/>
      </w:pPr>
      <w:r>
        <w:t>Η αναβάθμιση της μαθητείας της αρχικής επαγγελματικής εκπαίδευσης και κατάρτισης σύμφωνα με το πλαίσιο ποιότητας</w:t>
      </w:r>
    </w:p>
    <w:p w:rsidR="00E35FEF" w:rsidRDefault="00E35FEF" w:rsidP="00ED3006">
      <w:pPr>
        <w:pStyle w:val="a6"/>
        <w:numPr>
          <w:ilvl w:val="0"/>
          <w:numId w:val="5"/>
        </w:numPr>
        <w:ind w:left="567" w:hanging="567"/>
        <w:jc w:val="both"/>
      </w:pPr>
      <w:r>
        <w:t>Η σύνδεση της μαθητείας με την αγορά εργασίας, καθώς η αντιστοίχιση μεταξύ προσόντων και εργασιακών καθηκόντων που επιτυγχάνεται με την «Τάξη Μαθητείας»  ωφελεί τις επιχειρήσεις, καθώς το καταρτισμένο έμψυχο δυναμικό αποτελεί παράγοντα οικονομικής επέκτασης και ανάπτυξης</w:t>
      </w:r>
    </w:p>
    <w:p w:rsidR="00E35FEF" w:rsidRDefault="00E35FEF" w:rsidP="00ED3006">
      <w:pPr>
        <w:pStyle w:val="a6"/>
        <w:numPr>
          <w:ilvl w:val="0"/>
          <w:numId w:val="5"/>
        </w:numPr>
        <w:ind w:left="567" w:hanging="567"/>
        <w:jc w:val="both"/>
      </w:pPr>
      <w:r>
        <w:t>Να πραγματοποιηθεί διασύνδεση και να δημιουργηθούν πρωτόλεια δίκτυα συνεργασίας μεταξύ όλων των εμπλεκομένων και τοπικές συμπράξεις σε περιφερειακό επίπεδο</w:t>
      </w:r>
    </w:p>
    <w:p w:rsidR="00E35FEF" w:rsidRDefault="00E35FEF" w:rsidP="00ED3006">
      <w:pPr>
        <w:pStyle w:val="a6"/>
        <w:numPr>
          <w:ilvl w:val="0"/>
          <w:numId w:val="5"/>
        </w:numPr>
        <w:ind w:left="567" w:hanging="567"/>
        <w:jc w:val="both"/>
      </w:pPr>
      <w:r>
        <w:t>Να δοθεί η ευκαιρία σε νέους να εισέλθουν στην αγορά εργασίας, να εξοικειωθούν  με την εργασία σε περιβάλλον επιχείρησης, να αξιοποιήσουν αποκτηθείσες  γνώσεις και να αποκτήσουν εργασιακή εμπειρία</w:t>
      </w:r>
    </w:p>
    <w:p w:rsidR="00E35FEF" w:rsidRDefault="00E35FEF" w:rsidP="00ED3006">
      <w:pPr>
        <w:pStyle w:val="a6"/>
        <w:numPr>
          <w:ilvl w:val="0"/>
          <w:numId w:val="5"/>
        </w:numPr>
        <w:ind w:left="567" w:hanging="567"/>
        <w:jc w:val="both"/>
      </w:pPr>
      <w:r>
        <w:t xml:space="preserve">Να εξαχθούν τα απαραίτητα συμπεράσματα  ώστε να αποτελέσει το εφαλτήριο για την ευρεία εφαρμογή της μαθητείας </w:t>
      </w:r>
      <w:r w:rsidR="00ED3006">
        <w:t>σ</w:t>
      </w:r>
      <w:r>
        <w:t xml:space="preserve">τις δομές της αρχικής επαγγελματικής εκπαίδευσης </w:t>
      </w:r>
      <w:r w:rsidR="00ED3006">
        <w:t>και κατάρτισης</w:t>
      </w:r>
      <w:r w:rsidR="009C432A">
        <w:t xml:space="preserve"> </w:t>
      </w:r>
    </w:p>
    <w:p w:rsidR="00E35FEF" w:rsidRPr="009C432A" w:rsidRDefault="00E35FEF" w:rsidP="00E35FEF">
      <w:pPr>
        <w:jc w:val="both"/>
        <w:rPr>
          <w:u w:val="single"/>
        </w:rPr>
      </w:pPr>
      <w:r>
        <w:tab/>
      </w:r>
      <w:r w:rsidRPr="009C432A">
        <w:rPr>
          <w:u w:val="single"/>
        </w:rPr>
        <w:t>Στην «Πιλοτική Τάξη Μαθητείας» θα εφαρμοστεί, κατά το δυϊκό σύστημα εκπαίδευσης:</w:t>
      </w:r>
    </w:p>
    <w:p w:rsidR="00E35FEF" w:rsidRDefault="00E35FEF" w:rsidP="00E35FEF">
      <w:pPr>
        <w:jc w:val="both"/>
      </w:pPr>
      <w:r w:rsidRPr="00E35FEF">
        <w:rPr>
          <w:b/>
        </w:rPr>
        <w:t>Α. «Ενισχυτική Εργαστηριακή Εκπαίδευση της Μαθητείας»</w:t>
      </w:r>
      <w:r>
        <w:t xml:space="preserve"> συνολικής διάρκειας διακοσίων (200) ωρών. Το πρόγραμμα αυτό διδάσκεται επτά (7) ώρες εβδομαδιαίως από εκπαιδευτικό προσωπικό του Υπουργείου Παιδείας, Έρευνας και Θρησκευμάτων, σε σχολικές μονάδες ΕΠΑ.Λ ή/και σε Εργαστηριακά Κέντρα (ΕΚ). </w:t>
      </w:r>
    </w:p>
    <w:p w:rsidR="00E35FEF" w:rsidRDefault="00E35FEF" w:rsidP="00E35FEF">
      <w:pPr>
        <w:jc w:val="both"/>
      </w:pPr>
      <w:r w:rsidRPr="00E35FEF">
        <w:rPr>
          <w:b/>
        </w:rPr>
        <w:t>Β. «Πρόγραμμα εκπαίδευσης στο χώρο εργασίας - Μαθητεία σε εργασιακό χώρο»</w:t>
      </w:r>
      <w:r>
        <w:t>, διάρκειας είκοσι οκτώ (28) ωρών εβδομαδιαίως, επιμερισμένο κατ’ ελάχιστον σε τέσσερις (4) ημέρες.</w:t>
      </w:r>
    </w:p>
    <w:p w:rsidR="00ED3006" w:rsidRDefault="00ED3006" w:rsidP="00ED3006">
      <w:pPr>
        <w:jc w:val="both"/>
      </w:pPr>
      <w:r w:rsidRPr="00E35FEF">
        <w:t>Οι</w:t>
      </w:r>
      <w:r>
        <w:rPr>
          <w:b/>
        </w:rPr>
        <w:t xml:space="preserve"> </w:t>
      </w:r>
      <w:r w:rsidRPr="00E35FEF">
        <w:rPr>
          <w:u w:val="single"/>
        </w:rPr>
        <w:t>Σχολικές Μονάδες</w:t>
      </w:r>
      <w:r w:rsidRPr="00E35FEF">
        <w:t xml:space="preserve"> στις οποίες θα λάβει χώρα </w:t>
      </w:r>
      <w:r>
        <w:t>η πιλοτική «Τάξη Μαθητείας» είναι οι εξής:</w:t>
      </w:r>
      <w:bookmarkStart w:id="0" w:name="_GoBack"/>
      <w:bookmarkEnd w:id="0"/>
    </w:p>
    <w:p w:rsidR="00ED3006" w:rsidRDefault="00ED3006" w:rsidP="00ED3006">
      <w:pPr>
        <w:spacing w:line="240" w:lineRule="auto"/>
        <w:jc w:val="center"/>
      </w:pPr>
      <w:r>
        <w:t xml:space="preserve">α) </w:t>
      </w:r>
      <w:r w:rsidR="00C23954" w:rsidRPr="00C23954">
        <w:rPr>
          <w:rFonts w:ascii="Calibri" w:hAnsi="Calibri" w:cs="Tahoma"/>
          <w:b/>
        </w:rPr>
        <w:t xml:space="preserve">ΕΠΑ.Λ. </w:t>
      </w:r>
      <w:r w:rsidR="00C23954" w:rsidRPr="00C23954">
        <w:rPr>
          <w:b/>
          <w:kern w:val="2"/>
        </w:rPr>
        <w:t>ΚΟΡΩΠΙΟΥ</w:t>
      </w:r>
      <w:r w:rsidR="00C23954">
        <w:rPr>
          <w:kern w:val="2"/>
        </w:rPr>
        <w:t xml:space="preserve">  </w:t>
      </w:r>
    </w:p>
    <w:p w:rsidR="00ED3006" w:rsidRPr="00327DC9" w:rsidRDefault="00ED3006" w:rsidP="006520F8">
      <w:pPr>
        <w:spacing w:line="240" w:lineRule="auto"/>
        <w:jc w:val="center"/>
        <w:rPr>
          <w:b/>
          <w:kern w:val="2"/>
          <w:lang w:val="en-US"/>
        </w:rPr>
      </w:pPr>
      <w:r>
        <w:t xml:space="preserve">β) </w:t>
      </w:r>
      <w:r w:rsidR="00C23954" w:rsidRPr="00C23954">
        <w:rPr>
          <w:b/>
          <w:kern w:val="2"/>
        </w:rPr>
        <w:t>2</w:t>
      </w:r>
      <w:r w:rsidR="00C23954" w:rsidRPr="00C23954">
        <w:rPr>
          <w:b/>
          <w:kern w:val="2"/>
          <w:vertAlign w:val="superscript"/>
        </w:rPr>
        <w:t>ο</w:t>
      </w:r>
      <w:r w:rsidR="00C23954" w:rsidRPr="00C23954">
        <w:rPr>
          <w:b/>
          <w:kern w:val="2"/>
        </w:rPr>
        <w:t xml:space="preserve"> ΕΠΑ.Λ. ΣΤΑΥΡΟΥΠΟΛΗΣ</w:t>
      </w:r>
      <w:r w:rsidR="00327DC9">
        <w:rPr>
          <w:b/>
          <w:kern w:val="2"/>
          <w:lang w:val="en-US"/>
        </w:rPr>
        <w:t xml:space="preserve">   </w:t>
      </w:r>
    </w:p>
    <w:p w:rsidR="00E35FEF" w:rsidRPr="009C432A" w:rsidRDefault="00E35FEF" w:rsidP="00E35FEF">
      <w:pPr>
        <w:jc w:val="both"/>
        <w:rPr>
          <w:u w:val="single"/>
        </w:rPr>
      </w:pPr>
      <w:r w:rsidRPr="009C432A">
        <w:rPr>
          <w:u w:val="single"/>
        </w:rPr>
        <w:lastRenderedPageBreak/>
        <w:t xml:space="preserve">Οι ειδικότητες που αφορούν στην πιλοτική «Τάξη Μαθητείας» είναι οι εξής: </w:t>
      </w:r>
    </w:p>
    <w:p w:rsidR="00E35FEF" w:rsidRDefault="00E35FEF" w:rsidP="00654398">
      <w:pPr>
        <w:spacing w:line="240" w:lineRule="auto"/>
        <w:jc w:val="center"/>
      </w:pPr>
      <w:r>
        <w:t xml:space="preserve">α) </w:t>
      </w:r>
      <w:r w:rsidRPr="00E35FEF">
        <w:rPr>
          <w:b/>
        </w:rPr>
        <w:t xml:space="preserve">Ηλεκτρολογικές εγκαταστάσεις </w:t>
      </w:r>
      <w:r w:rsidRPr="00E35FEF">
        <w:t>(</w:t>
      </w:r>
      <w:r>
        <w:t xml:space="preserve">κατά προτεραιότητα) ή </w:t>
      </w:r>
      <w:r w:rsidRPr="00E35FEF">
        <w:rPr>
          <w:b/>
        </w:rPr>
        <w:t>άλλες του Τομέα Ηλεκτρολογίας</w:t>
      </w:r>
    </w:p>
    <w:p w:rsidR="00E35FEF" w:rsidRDefault="00E35FEF" w:rsidP="00654398">
      <w:pPr>
        <w:spacing w:line="240" w:lineRule="auto"/>
        <w:jc w:val="center"/>
        <w:rPr>
          <w:b/>
        </w:rPr>
      </w:pPr>
      <w:r>
        <w:t xml:space="preserve">β) </w:t>
      </w:r>
      <w:r w:rsidRPr="00E35FEF">
        <w:rPr>
          <w:b/>
        </w:rPr>
        <w:t>Σύγχρονη επιχειρηματική γεωργία</w:t>
      </w:r>
      <w:r>
        <w:t xml:space="preserve"> </w:t>
      </w:r>
      <w:r w:rsidRPr="00E35FEF">
        <w:t>(</w:t>
      </w:r>
      <w:r>
        <w:t xml:space="preserve">κατά προτεραιότητα)  ή </w:t>
      </w:r>
      <w:r w:rsidRPr="00E35FEF">
        <w:rPr>
          <w:b/>
        </w:rPr>
        <w:t>άλλες του Τομέα Γεωπονίας</w:t>
      </w:r>
    </w:p>
    <w:p w:rsidR="00E35FEF" w:rsidRPr="009C432A" w:rsidRDefault="00E35FEF" w:rsidP="00ED3006">
      <w:pPr>
        <w:jc w:val="both"/>
        <w:rPr>
          <w:b/>
        </w:rPr>
      </w:pPr>
      <w:r>
        <w:rPr>
          <w:b/>
        </w:rPr>
        <w:tab/>
      </w:r>
    </w:p>
    <w:p w:rsidR="00E35FEF" w:rsidRPr="00654398" w:rsidRDefault="00E35FEF" w:rsidP="00E35FEF">
      <w:pPr>
        <w:jc w:val="center"/>
        <w:rPr>
          <w:b/>
          <w:i/>
          <w:lang w:val="en-US"/>
        </w:rPr>
      </w:pPr>
      <w:r w:rsidRPr="00654398">
        <w:rPr>
          <w:b/>
          <w:i/>
        </w:rPr>
        <w:t>ΥΠΟΧΡΕΩΣΕΙΣ ΤΩΝ ΜΑΘΗΤΕΥΟΜΕΝΩΝ</w:t>
      </w:r>
    </w:p>
    <w:p w:rsidR="00E35FEF" w:rsidRDefault="00E35FEF" w:rsidP="00654398">
      <w:pPr>
        <w:pStyle w:val="a6"/>
        <w:numPr>
          <w:ilvl w:val="0"/>
          <w:numId w:val="3"/>
        </w:numPr>
        <w:ind w:left="567" w:hanging="567"/>
        <w:jc w:val="both"/>
      </w:pPr>
      <w:r>
        <w:t>Ο μαθητευόμενος οφείλει να παρακολουθεί την «Ενισχυτική Εργαστηριακή Εκπαίδευση της</w:t>
      </w:r>
      <w:r w:rsidR="00654398">
        <w:t xml:space="preserve"> Μαθητείας» στη Σχολική Μονάδα και </w:t>
      </w:r>
      <w:r>
        <w:t>παράλληλα</w:t>
      </w:r>
      <w:r w:rsidR="00654398">
        <w:t>,</w:t>
      </w:r>
      <w:r>
        <w:t xml:space="preserve"> να συμμετέχει στο «Πρόγραμμα Εκπαίδευσης στο χώρο εργασίας».</w:t>
      </w:r>
    </w:p>
    <w:p w:rsidR="00E35FEF" w:rsidRDefault="00E35FEF" w:rsidP="009C432A">
      <w:pPr>
        <w:pStyle w:val="a6"/>
        <w:numPr>
          <w:ilvl w:val="0"/>
          <w:numId w:val="3"/>
        </w:numPr>
        <w:ind w:left="567" w:hanging="567"/>
        <w:jc w:val="both"/>
      </w:pPr>
      <w:r>
        <w:t>Ο μαθητευόμενος οφείλει να εκτελεί κάθε εργασία που του αναθέτει ο υπεύθυνος γι’ αυτόν Εκπαιδευτικός (στη Σχολική Μονάδα) και ο υπεύθυνος εκπαιδευτής (στην επιχείρηση), σύμφωνα με τα οριζόμενα στο «Πρόγραμμα Εκπαίδευσης στο χώρο εργασίας».</w:t>
      </w:r>
    </w:p>
    <w:p w:rsidR="00E35FEF" w:rsidRDefault="00E35FEF" w:rsidP="009C432A">
      <w:pPr>
        <w:pStyle w:val="a6"/>
        <w:numPr>
          <w:ilvl w:val="0"/>
          <w:numId w:val="3"/>
        </w:numPr>
        <w:ind w:left="567" w:hanging="567"/>
        <w:jc w:val="both"/>
      </w:pPr>
      <w:r>
        <w:t>Ο μαθητευόμενος οφείλει να τηρεί τους όρους υγιεινής και ασφάλειας εργασίας της επιχείρησης.</w:t>
      </w:r>
    </w:p>
    <w:p w:rsidR="00E35FEF" w:rsidRDefault="00E35FEF" w:rsidP="009C432A">
      <w:pPr>
        <w:pStyle w:val="a6"/>
        <w:numPr>
          <w:ilvl w:val="0"/>
          <w:numId w:val="3"/>
        </w:numPr>
        <w:ind w:left="567" w:hanging="567"/>
        <w:jc w:val="both"/>
      </w:pPr>
      <w:r>
        <w:t>Ο μαθητευόμενος οφείλει να τηρεί το ωράριο του «Προγράμματος Εκπαίδευσης στο χώρο εργασίας».</w:t>
      </w:r>
    </w:p>
    <w:p w:rsidR="00E35FEF" w:rsidRDefault="00E35FEF" w:rsidP="009C432A">
      <w:pPr>
        <w:pStyle w:val="a6"/>
        <w:numPr>
          <w:ilvl w:val="0"/>
          <w:numId w:val="3"/>
        </w:numPr>
        <w:ind w:left="567" w:hanging="567"/>
        <w:jc w:val="both"/>
      </w:pPr>
      <w:r>
        <w:t>Ο μαθητευόμενος οφείλει να έχει ευπρεπή εμφάνιση.</w:t>
      </w:r>
    </w:p>
    <w:p w:rsidR="00E35FEF" w:rsidRDefault="00E35FEF" w:rsidP="009C432A">
      <w:pPr>
        <w:pStyle w:val="a6"/>
        <w:numPr>
          <w:ilvl w:val="0"/>
          <w:numId w:val="3"/>
        </w:numPr>
        <w:ind w:left="567" w:hanging="567"/>
        <w:jc w:val="both"/>
      </w:pPr>
      <w:r>
        <w:t>Ο μαθητευόμενος οφείλει να σέβεται την κινητή και ακίνητη περιουσία της επιχείρησης.</w:t>
      </w:r>
    </w:p>
    <w:p w:rsidR="00E35FEF" w:rsidRDefault="00E35FEF" w:rsidP="009C432A">
      <w:pPr>
        <w:pStyle w:val="a6"/>
        <w:numPr>
          <w:ilvl w:val="0"/>
          <w:numId w:val="3"/>
        </w:numPr>
        <w:ind w:left="567" w:hanging="567"/>
        <w:jc w:val="both"/>
      </w:pPr>
      <w:r>
        <w:t>Ο μαθητευόμενος οφείλει να συνεργάζεται αρμονικά με τα στελέχη της επιχείρησης.</w:t>
      </w:r>
    </w:p>
    <w:p w:rsidR="00E35FEF" w:rsidRDefault="00E35FEF" w:rsidP="009C432A">
      <w:pPr>
        <w:pStyle w:val="a6"/>
        <w:numPr>
          <w:ilvl w:val="0"/>
          <w:numId w:val="3"/>
        </w:numPr>
        <w:ind w:left="567" w:hanging="567"/>
        <w:jc w:val="both"/>
      </w:pPr>
      <w:r>
        <w:t>Ο μαθητευόμενος οφείλει να μην δημιουργεί προβλήματα σε πελάτες ή συνεργάτες της επιχείρησης.</w:t>
      </w:r>
    </w:p>
    <w:p w:rsidR="009C432A" w:rsidRDefault="00E35FEF" w:rsidP="009C432A">
      <w:pPr>
        <w:pStyle w:val="a6"/>
        <w:numPr>
          <w:ilvl w:val="0"/>
          <w:numId w:val="3"/>
        </w:numPr>
        <w:ind w:left="567" w:hanging="567"/>
        <w:jc w:val="both"/>
      </w:pPr>
      <w:r>
        <w:t>Ο μαθητευόμενος οφείλει να ενημερώνει έγκαιρα τους Υπευθύνους της Σχολικής Μονάδας σε περίπτωση που δημιουργηθεί κάποιο πρόβλημα στη συνεργασία τ</w:t>
      </w:r>
      <w:r w:rsidR="009C432A">
        <w:t>ου με την επιχείρηση.</w:t>
      </w:r>
    </w:p>
    <w:p w:rsidR="00E35FEF" w:rsidRDefault="009C432A" w:rsidP="009C432A">
      <w:pPr>
        <w:pStyle w:val="a6"/>
        <w:numPr>
          <w:ilvl w:val="0"/>
          <w:numId w:val="3"/>
        </w:numPr>
        <w:ind w:left="567" w:hanging="567"/>
        <w:jc w:val="both"/>
      </w:pPr>
      <w:r>
        <w:t xml:space="preserve">Ο </w:t>
      </w:r>
      <w:r w:rsidR="00E35FEF">
        <w:t>μαθητευόμενος οφείλει να προσκομίζει, όπου απαιτείται, όλες τις απαραίτητες ιατρικές βεβαιώσεις για την εξάσκηση του επαγγέλματος και να συμπληρώνει έγκαιρα όλα τα έντυπα Μαθητείας (</w:t>
      </w:r>
      <w:proofErr w:type="spellStart"/>
      <w:r w:rsidR="00E35FEF">
        <w:t>παρουσιολόγια</w:t>
      </w:r>
      <w:proofErr w:type="spellEnd"/>
      <w:r w:rsidR="00E35FEF">
        <w:t>, έντυπο προόδου μαθητή κ.λπ.) σε συνεργασία με τον υπεύθυνο Εκπαιδευτικό.</w:t>
      </w:r>
    </w:p>
    <w:p w:rsidR="00E35FEF" w:rsidRDefault="00E35FEF" w:rsidP="009C432A">
      <w:pPr>
        <w:pStyle w:val="a6"/>
        <w:numPr>
          <w:ilvl w:val="0"/>
          <w:numId w:val="3"/>
        </w:numPr>
        <w:ind w:left="567" w:hanging="567"/>
        <w:jc w:val="both"/>
      </w:pPr>
      <w:r>
        <w:t>Ο μαθητευόμενος οφείλει να συνυπογράψει τη Σύμβαση Μαθητείας με την επιχείρηση.</w:t>
      </w:r>
    </w:p>
    <w:p w:rsidR="00E35FEF" w:rsidRDefault="00E35FEF" w:rsidP="009C432A">
      <w:pPr>
        <w:pStyle w:val="a6"/>
        <w:numPr>
          <w:ilvl w:val="0"/>
          <w:numId w:val="3"/>
        </w:numPr>
        <w:ind w:left="567" w:hanging="567"/>
        <w:jc w:val="both"/>
      </w:pPr>
      <w:r>
        <w:t>Με την ολοκλήρωση του «Προγράμματος Εκπαίδευσης στο χώρο εργασίας» οι μαθητευόμενοι οφείλουν να συμμετέχουν στη διαδικασία της αξιολόγησης της μαθητείας.</w:t>
      </w:r>
    </w:p>
    <w:p w:rsidR="00E35FEF" w:rsidRDefault="00E35FEF" w:rsidP="009C432A">
      <w:pPr>
        <w:pStyle w:val="a6"/>
        <w:numPr>
          <w:ilvl w:val="0"/>
          <w:numId w:val="3"/>
        </w:numPr>
        <w:ind w:left="567" w:hanging="567"/>
        <w:jc w:val="both"/>
      </w:pPr>
      <w:r>
        <w:t>Το όριο απουσιών της «Ενισχυτικής Εργαστηριακής Εκπαίδευσης» δεν μπορεί να υπερβαίνει το 10% του συνολικού αριθμού ωρών του Προγράμματος .</w:t>
      </w:r>
    </w:p>
    <w:p w:rsidR="00E35FEF" w:rsidRPr="00E35FEF" w:rsidRDefault="00E35FEF" w:rsidP="00E35FEF">
      <w:pPr>
        <w:pStyle w:val="a6"/>
        <w:numPr>
          <w:ilvl w:val="0"/>
          <w:numId w:val="3"/>
        </w:numPr>
        <w:ind w:left="567" w:hanging="567"/>
        <w:jc w:val="both"/>
      </w:pPr>
      <w:r>
        <w:t>Το όριο απουσιών του «Προγράμματος Εκπαίδευσης στο χώρο εργασίας» δεν μπορεί να υπερβαίνει το 10% των εργάσιμων ημερών του Προγράμματος.</w:t>
      </w:r>
    </w:p>
    <w:p w:rsidR="00E35FEF" w:rsidRPr="00654398" w:rsidRDefault="00E35FEF" w:rsidP="00E35FEF">
      <w:pPr>
        <w:jc w:val="center"/>
        <w:rPr>
          <w:b/>
          <w:i/>
          <w:lang w:val="en-US"/>
        </w:rPr>
      </w:pPr>
      <w:r w:rsidRPr="00654398">
        <w:rPr>
          <w:b/>
          <w:i/>
        </w:rPr>
        <w:t>ΔΙΚΑΙΩΜΑΤΑ ΤΩΝ ΜΑΘΗΤΕΥΟΜΕΝΩΝ</w:t>
      </w:r>
    </w:p>
    <w:p w:rsidR="00E35FEF" w:rsidRDefault="00E35FEF" w:rsidP="009C432A">
      <w:pPr>
        <w:pStyle w:val="a6"/>
        <w:numPr>
          <w:ilvl w:val="0"/>
          <w:numId w:val="4"/>
        </w:numPr>
        <w:ind w:left="567" w:hanging="567"/>
        <w:jc w:val="both"/>
      </w:pPr>
      <w:r>
        <w:t xml:space="preserve">Στον μαθητευόμενο παρέχεται αμοιβή το 75% του νόμιμου, νομοθετημένου, κατώτατου ημερομισθίου του ανειδίκευτου εργάτη και έχει πλήρη ασφαλιστική κάλυψη από το ΙΚΑ.  </w:t>
      </w:r>
    </w:p>
    <w:p w:rsidR="00E35FEF" w:rsidRDefault="00E35FEF" w:rsidP="009C432A">
      <w:pPr>
        <w:pStyle w:val="a6"/>
        <w:numPr>
          <w:ilvl w:val="0"/>
          <w:numId w:val="4"/>
        </w:numPr>
        <w:ind w:left="567" w:hanging="567"/>
        <w:jc w:val="both"/>
      </w:pPr>
      <w:r>
        <w:t>Στον μαθητευόμενο δίδεται σπουδαστική άδεια για τη συμμετοχή του στις εξετάσεις.</w:t>
      </w:r>
    </w:p>
    <w:p w:rsidR="00E35FEF" w:rsidRDefault="00E35FEF" w:rsidP="009C432A">
      <w:pPr>
        <w:pStyle w:val="a6"/>
        <w:numPr>
          <w:ilvl w:val="0"/>
          <w:numId w:val="4"/>
        </w:numPr>
        <w:ind w:left="567" w:hanging="567"/>
        <w:jc w:val="both"/>
      </w:pPr>
      <w:r>
        <w:t>Στον μαθητευόμενο εφαρμόζονται οι διατάξεις των άρθρων 657 – 658 του Αστικού Κώδικα σε περίπτωση απουσίας λόγω ασθενείας.</w:t>
      </w:r>
    </w:p>
    <w:p w:rsidR="00E35FEF" w:rsidRDefault="00E35FEF" w:rsidP="009C432A">
      <w:pPr>
        <w:pStyle w:val="a6"/>
        <w:numPr>
          <w:ilvl w:val="0"/>
          <w:numId w:val="4"/>
        </w:numPr>
        <w:ind w:left="567" w:hanging="567"/>
        <w:jc w:val="both"/>
      </w:pPr>
      <w:r>
        <w:t>Ο μαθητευόμενος δικαιούται, κατά τη διάρκεια του Προγράμματος, τις κανονικές άδειες των μισθωτών που προβλέπονται από τις ισχύουσες διατάξεις του ν. 1346/1983, όπως ισχύει.</w:t>
      </w:r>
    </w:p>
    <w:p w:rsidR="00E35FEF" w:rsidRDefault="00E35FEF" w:rsidP="009C432A">
      <w:pPr>
        <w:pStyle w:val="a6"/>
        <w:numPr>
          <w:ilvl w:val="0"/>
          <w:numId w:val="4"/>
        </w:numPr>
        <w:ind w:left="567" w:hanging="567"/>
        <w:jc w:val="both"/>
      </w:pPr>
      <w:r>
        <w:lastRenderedPageBreak/>
        <w:t>Ο μαθητευόμενος δικαιούται εκπαίδευση σύμφωνα με τα προγράμματα σπουδών, η οποία τον οδηγεί σε συγκεκριμένα μαθησιακά αποτελέσματα, ανεξάρτητα από το χώρο μαθητείας, τα οποία συμπληρώνονται κατάλληλα στη σχολική μονάδα.</w:t>
      </w:r>
    </w:p>
    <w:p w:rsidR="00E35FEF" w:rsidRDefault="00E35FEF" w:rsidP="009C432A">
      <w:pPr>
        <w:pStyle w:val="a6"/>
        <w:numPr>
          <w:ilvl w:val="0"/>
          <w:numId w:val="4"/>
        </w:numPr>
        <w:ind w:left="567" w:hanging="567"/>
        <w:jc w:val="both"/>
      </w:pPr>
      <w:r>
        <w:t>Ο μαθητευόμενος έχει δικαίωμα παροχής υπηρεσιών συμβουλευτικής πριν, κατά τη διάρκεια και μετά το πρόγραμμα μάθησης στην επιχείρηση, η οποία παρέχεται από τις οικείες δομές του ΟΑΕΔ και των ΕΠΑ.Λ.</w:t>
      </w:r>
    </w:p>
    <w:p w:rsidR="00E35FEF" w:rsidRDefault="00E35FEF" w:rsidP="009C432A">
      <w:pPr>
        <w:pStyle w:val="a6"/>
        <w:numPr>
          <w:ilvl w:val="0"/>
          <w:numId w:val="4"/>
        </w:numPr>
        <w:ind w:left="567" w:hanging="567"/>
        <w:jc w:val="both"/>
      </w:pPr>
      <w:r>
        <w:t>Ο μαθητευόμενος έχει δικαίωμα να ενημερώνεται σχετικά με τα επαγγελματικά του δικαιώματα από τον εκπαιδευτικό της ειδικότητας  που είναι υπεύθυνος για την παρακολούθηση του «Προγράμματος Εκπαίδευσης στο χώρο εργασίας»</w:t>
      </w:r>
    </w:p>
    <w:p w:rsidR="00E35FEF" w:rsidRPr="00E35FEF" w:rsidRDefault="00E35FEF" w:rsidP="009C432A">
      <w:pPr>
        <w:pStyle w:val="a6"/>
        <w:numPr>
          <w:ilvl w:val="0"/>
          <w:numId w:val="4"/>
        </w:numPr>
        <w:ind w:left="567" w:hanging="567"/>
        <w:jc w:val="both"/>
      </w:pPr>
      <w:r>
        <w:t>Ο μαθητευόμενος έχει δικαίωμα να αναφέρει στο Δ/</w:t>
      </w:r>
      <w:proofErr w:type="spellStart"/>
      <w:r>
        <w:t>ντή</w:t>
      </w:r>
      <w:proofErr w:type="spellEnd"/>
      <w:r>
        <w:t xml:space="preserve"> ή στον  υπεύθυνο καθηγητή της Σχολικής Μονάδας, τη μη τήρηση των όρων της Σύμβασης και της εργατικής νομοθεσίας. Ο μαθητευόμενος για σοβαρούς λόγους και με τη σύμφωνη γνώμη του υπευθύνου του ΕΠΑ.Λ , δύναται να ζητήσει τη διακοπή της Σύμβασης Μαθητείας στην επιχείρηση και την τοποθέτηση του σε άλλη επιχείρηση, εάν είναι εφικτό,</w:t>
      </w:r>
      <w:r w:rsidRPr="00E35FEF">
        <w:t xml:space="preserve"> </w:t>
      </w:r>
      <w:r>
        <w:t xml:space="preserve">για τη συνέχιση του προγράμματος. </w:t>
      </w:r>
    </w:p>
    <w:p w:rsidR="00E35FEF" w:rsidRPr="00C23954" w:rsidRDefault="00E35FEF" w:rsidP="00E35FEF">
      <w:pPr>
        <w:jc w:val="center"/>
        <w:rPr>
          <w:b/>
          <w:i/>
        </w:rPr>
      </w:pPr>
      <w:r w:rsidRPr="00654398">
        <w:rPr>
          <w:b/>
          <w:i/>
        </w:rPr>
        <w:t>ΑΜΟΙΒΗ</w:t>
      </w:r>
      <w:r w:rsidR="00F57B34" w:rsidRPr="00654398">
        <w:rPr>
          <w:b/>
          <w:i/>
        </w:rPr>
        <w:t>- ΑΣΦΑΛΙΣΗ</w:t>
      </w:r>
    </w:p>
    <w:p w:rsidR="00E35FEF" w:rsidRPr="00E35FEF" w:rsidRDefault="00E35FEF" w:rsidP="00E35FEF">
      <w:pPr>
        <w:jc w:val="both"/>
      </w:pPr>
      <w:r>
        <w:tab/>
        <w:t>Το ποσοστό αμοιβής των μαθητευόμενων  της πιλοτικής «Τάξης Μαθητείας» ορίζεται στο εβδομήντα πέντε τοις εκατό (75%) επί του νόμιμου, νομοθετημένου, κατώτατου ορίου του ημερομισθίου του ανειδίκευτου εργάτη σε όλη τη διάρκεια του «Προγράμματος Εκπαίδευσης στο χώρο εργασίας». Σύμφωνα µε τις ισχύουσες διατάξεις, κατά τη διάρκεια της του προγράμματος , αμείβονται µε ημερομίσθιο ίσο προς το 75% επί του κατωτάτου ημερομισθίου του ανειδίκευτου εργάτη (22,83€), δηλαδή  µε 17,12€</w:t>
      </w:r>
      <w:r w:rsidRPr="00E35FEF">
        <w:t>.</w:t>
      </w:r>
    </w:p>
    <w:p w:rsidR="00E35FEF" w:rsidRDefault="00E35FEF" w:rsidP="00E35FEF">
      <w:pPr>
        <w:jc w:val="both"/>
      </w:pPr>
      <w:r>
        <w:tab/>
        <w:t xml:space="preserve">Το σύνολο της αμοιβής, συμπεριλαμβανομένων των νόμιμων ασφαλιστικών εισφορών,  θα καταβάλλεται από την επιχείρηση, όπου πραγματοποιείται το πρόγραμμα «Εκπαίδευση στο χώρο εργασίας - Μαθητεία στον εργασιακό χώρο» της πιλοτικής εφαρμογής της «Τάξης Μαθητείας». </w:t>
      </w:r>
    </w:p>
    <w:p w:rsidR="00E35FEF" w:rsidRDefault="00E35FEF" w:rsidP="00E35FEF">
      <w:pPr>
        <w:jc w:val="both"/>
      </w:pPr>
      <w:r>
        <w:tab/>
        <w:t>Η επιχείρηση οφείλει να αμείβει τους συμμετέχοντες σε μηνιαία βάση.</w:t>
      </w:r>
    </w:p>
    <w:p w:rsidR="00E35FEF" w:rsidRDefault="00E35FEF" w:rsidP="00E35FEF">
      <w:pPr>
        <w:jc w:val="both"/>
      </w:pPr>
      <w:r>
        <w:tab/>
        <w:t xml:space="preserve">Η επιδότηση δεν καταβάλλεται για τις </w:t>
      </w:r>
      <w:proofErr w:type="spellStart"/>
      <w:r>
        <w:t>ηµέρες</w:t>
      </w:r>
      <w:proofErr w:type="spellEnd"/>
      <w:r>
        <w:t xml:space="preserve"> της σπουδαστικής άδειας, κανονικής άδειας, ασθένεια</w:t>
      </w:r>
      <w:r w:rsidR="009C432A">
        <w:t>ς, δώρων και λοιπών επιδομάτων.</w:t>
      </w:r>
    </w:p>
    <w:p w:rsidR="00F57B34" w:rsidRDefault="00F57B34" w:rsidP="00E35FEF">
      <w:pPr>
        <w:jc w:val="both"/>
      </w:pPr>
    </w:p>
    <w:p w:rsidR="009C432A" w:rsidRDefault="009C432A" w:rsidP="00E35FEF">
      <w:pPr>
        <w:jc w:val="both"/>
      </w:pPr>
    </w:p>
    <w:p w:rsidR="009C432A" w:rsidRDefault="009C432A" w:rsidP="00E35FEF">
      <w:pPr>
        <w:jc w:val="both"/>
      </w:pPr>
    </w:p>
    <w:p w:rsidR="00E35FEF" w:rsidRDefault="00E35FEF" w:rsidP="00E35FEF">
      <w:pPr>
        <w:jc w:val="both"/>
      </w:pPr>
    </w:p>
    <w:p w:rsidR="00654398" w:rsidRDefault="00654398" w:rsidP="00E35FEF">
      <w:pPr>
        <w:jc w:val="both"/>
      </w:pPr>
    </w:p>
    <w:p w:rsidR="009C432A" w:rsidRDefault="009C432A" w:rsidP="00E35FEF">
      <w:pPr>
        <w:jc w:val="both"/>
      </w:pPr>
    </w:p>
    <w:p w:rsidR="00E35FEF" w:rsidRPr="00E35FEF" w:rsidRDefault="00E35FEF" w:rsidP="00E35FEF">
      <w:pPr>
        <w:jc w:val="center"/>
        <w:rPr>
          <w:i/>
          <w:sz w:val="20"/>
          <w:szCs w:val="20"/>
        </w:rPr>
      </w:pPr>
      <w:r w:rsidRPr="00E35FEF">
        <w:rPr>
          <w:i/>
          <w:sz w:val="20"/>
          <w:szCs w:val="20"/>
        </w:rPr>
        <w:t xml:space="preserve">Το    </w:t>
      </w:r>
      <w:proofErr w:type="spellStart"/>
      <w:r w:rsidRPr="00E35FEF">
        <w:rPr>
          <w:i/>
          <w:sz w:val="20"/>
          <w:szCs w:val="20"/>
        </w:rPr>
        <w:t>πρόγραµµα</w:t>
      </w:r>
      <w:proofErr w:type="spellEnd"/>
      <w:r w:rsidRPr="00E35FEF">
        <w:rPr>
          <w:i/>
          <w:sz w:val="20"/>
          <w:szCs w:val="20"/>
        </w:rPr>
        <w:t xml:space="preserve">   πιλοτική «Τάξη Μαθητείας»    </w:t>
      </w:r>
      <w:proofErr w:type="spellStart"/>
      <w:r w:rsidRPr="00E35FEF">
        <w:rPr>
          <w:i/>
          <w:sz w:val="20"/>
          <w:szCs w:val="20"/>
        </w:rPr>
        <w:t>συγχρηµατοδοτείται</w:t>
      </w:r>
      <w:proofErr w:type="spellEnd"/>
      <w:r w:rsidRPr="00E35FEF">
        <w:rPr>
          <w:i/>
          <w:sz w:val="20"/>
          <w:szCs w:val="20"/>
        </w:rPr>
        <w:t xml:space="preserve">  από το Ευρωπαϊκό</w:t>
      </w:r>
    </w:p>
    <w:p w:rsidR="0014394D" w:rsidRPr="00E35FEF" w:rsidRDefault="00E35FEF" w:rsidP="00E35FEF">
      <w:pPr>
        <w:jc w:val="center"/>
        <w:rPr>
          <w:i/>
          <w:sz w:val="20"/>
          <w:szCs w:val="20"/>
        </w:rPr>
      </w:pPr>
      <w:r w:rsidRPr="00E35FEF">
        <w:rPr>
          <w:i/>
          <w:sz w:val="20"/>
          <w:szCs w:val="20"/>
        </w:rPr>
        <w:t xml:space="preserve">Κοινωνικό </w:t>
      </w:r>
      <w:proofErr w:type="spellStart"/>
      <w:r w:rsidRPr="00E35FEF">
        <w:rPr>
          <w:i/>
          <w:sz w:val="20"/>
          <w:szCs w:val="20"/>
        </w:rPr>
        <w:t>Ταµείο</w:t>
      </w:r>
      <w:proofErr w:type="spellEnd"/>
      <w:r w:rsidRPr="00E35FEF">
        <w:rPr>
          <w:i/>
          <w:sz w:val="20"/>
          <w:szCs w:val="20"/>
        </w:rPr>
        <w:t xml:space="preserve"> (ΕΚΤ) και  εθνικούς πόρους, μέσω του ΟΑΕΔ.</w:t>
      </w:r>
    </w:p>
    <w:sectPr w:rsidR="0014394D" w:rsidRPr="00E35FEF" w:rsidSect="00654398">
      <w:footerReference w:type="default" r:id="rId9"/>
      <w:pgSz w:w="11906" w:h="16838"/>
      <w:pgMar w:top="993" w:right="1274"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2FB" w:rsidRDefault="008642FB" w:rsidP="00E35FEF">
      <w:pPr>
        <w:spacing w:after="0" w:line="240" w:lineRule="auto"/>
      </w:pPr>
      <w:r>
        <w:separator/>
      </w:r>
    </w:p>
  </w:endnote>
  <w:endnote w:type="continuationSeparator" w:id="0">
    <w:p w:rsidR="008642FB" w:rsidRDefault="008642FB" w:rsidP="00E35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FEF" w:rsidRDefault="00E35FEF" w:rsidP="009C432A">
    <w:pPr>
      <w:pStyle w:val="a5"/>
      <w:ind w:left="-851" w:firstLine="851"/>
    </w:pPr>
    <w:r>
      <w:rPr>
        <w:noProof/>
        <w:lang w:eastAsia="el-GR"/>
      </w:rPr>
      <mc:AlternateContent>
        <mc:Choice Requires="wpg">
          <w:drawing>
            <wp:inline distT="0" distB="0" distL="0" distR="0" wp14:anchorId="4E815254" wp14:editId="5240491D">
              <wp:extent cx="5984637" cy="381662"/>
              <wp:effectExtent l="152400" t="57150" r="54610" b="132715"/>
              <wp:docPr id="438" name="Ομάδα 387"/>
              <wp:cNvGraphicFramePr/>
              <a:graphic xmlns:a="http://schemas.openxmlformats.org/drawingml/2006/main">
                <a:graphicData uri="http://schemas.microsoft.com/office/word/2010/wordprocessingGroup">
                  <wpg:wgp>
                    <wpg:cNvGrpSpPr/>
                    <wpg:grpSpPr>
                      <a:xfrm>
                        <a:off x="0" y="0"/>
                        <a:ext cx="5984637" cy="381662"/>
                        <a:chOff x="0" y="0"/>
                        <a:chExt cx="5844519" cy="606453"/>
                      </a:xfrm>
                      <a:gradFill>
                        <a:gsLst>
                          <a:gs pos="0">
                            <a:schemeClr val="accent1">
                              <a:tint val="66000"/>
                              <a:satMod val="160000"/>
                            </a:schemeClr>
                          </a:gs>
                          <a:gs pos="64000">
                            <a:schemeClr val="accent1">
                              <a:tint val="44500"/>
                              <a:satMod val="160000"/>
                            </a:schemeClr>
                          </a:gs>
                          <a:gs pos="100000">
                            <a:schemeClr val="accent1">
                              <a:tint val="23500"/>
                              <a:satMod val="160000"/>
                            </a:schemeClr>
                          </a:gs>
                        </a:gsLst>
                        <a:lin ang="5400000" scaled="0"/>
                      </a:gradFill>
                      <a:effectLst>
                        <a:outerShdw blurRad="76200" dir="13500000" sy="23000" kx="1200000" algn="br" rotWithShape="0">
                          <a:schemeClr val="tx2">
                            <a:lumMod val="50000"/>
                            <a:alpha val="62000"/>
                          </a:schemeClr>
                        </a:outerShdw>
                        <a:reflection stA="0" endPos="65000" dist="50800" dir="5400000" sy="-100000" algn="bl" rotWithShape="0"/>
                      </a:effectLst>
                    </wpg:grpSpPr>
                    <wps:wsp>
                      <wps:cNvPr id="439" name="Straight Connector 439"/>
                      <wps:cNvCnPr/>
                      <wps:spPr>
                        <a:xfrm>
                          <a:off x="0" y="152819"/>
                          <a:ext cx="5576835" cy="442127"/>
                        </a:xfrm>
                        <a:prstGeom prst="line">
                          <a:avLst/>
                        </a:prstGeom>
                        <a:grpFill/>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440" name="Oval 440"/>
                      <wps:cNvSpPr/>
                      <wps:spPr>
                        <a:xfrm>
                          <a:off x="5245240" y="0"/>
                          <a:ext cx="599279" cy="606453"/>
                        </a:xfrm>
                        <a:prstGeom prst="ellipse">
                          <a:avLst/>
                        </a:prstGeom>
                        <a:grpFill/>
                        <a:ln>
                          <a:solidFill>
                            <a:schemeClr val="tx2">
                              <a:lumMod val="60000"/>
                              <a:lumOff val="40000"/>
                            </a:schemeClr>
                          </a:solidFill>
                        </a:ln>
                        <a:scene3d>
                          <a:camera prst="perspectiveLeft"/>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txbx>
                        <w:txbxContent>
                          <w:p w:rsidR="00E35FEF" w:rsidRDefault="00E35FEF">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327DC9">
                              <w:rPr>
                                <w:noProof/>
                                <w:color w:val="000000"/>
                                <w:sz w:val="32"/>
                                <w:szCs w:val="32"/>
                                <w14:textOutline w14:w="1270" w14:cap="rnd" w14:cmpd="sng" w14:algn="ctr">
                                  <w14:noFill/>
                                  <w14:prstDash w14:val="solid"/>
                                  <w14:bevel/>
                                </w14:textOutline>
                              </w:rPr>
                              <w:t>1</w:t>
                            </w:r>
                            <w:r>
                              <w:rPr>
                                <w:color w:val="000000"/>
                                <w:sz w:val="32"/>
                                <w:szCs w:val="32"/>
                                <w14:textOutline w14:w="1270" w14:cap="rnd" w14:cmpd="sng" w14:algn="ctr">
                                  <w14:noFill/>
                                  <w14:prstDash w14:val="solid"/>
                                  <w14:bevel/>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Ομάδα 387" o:spid="_x0000_s1026" style="width:471.25pt;height:30.05pt;mso-position-horizontal-relative:char;mso-position-vertical-relative:line" coordsize="58445,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">
              <v:line id="Straight Connector 439" o:spid="_x0000_s1027" style="position:absolute;visibility:visible;mso-wrap-style:square" from="0,1528" to="55768,5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Oh5cUAAADcAAAADwAAAGRycy9kb3ducmV2LnhtbESP0WrCQBRE34X+w3ILfZG6qQZbo6uo&#10;UBQfBLUfcMles8Hs3TS7jfHvu4Lg4zAzZ5jZorOVaKnxpWMFH4MEBHHudMmFgp/T9/sXCB+QNVaO&#10;ScGNPCzmL70ZZtpd+UDtMRQiQthnqMCEUGdS+tyQRT9wNXH0zq6xGKJsCqkbvEa4reQwScbSYslx&#10;wWBNa0P55fhnFfRP6a3a7Ixf/65GtGzT7efeOaXeXrvlFESgLjzDj/ZWK0hHE7ifiUd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rOh5cUAAADcAAAADwAAAAAAAAAA&#10;AAAAAAChAgAAZHJzL2Rvd25yZXYueG1sUEsFBgAAAAAEAAQA+QAAAJMDAAAAAA==&#10;" strokecolor="#548dd4 [1951]"/>
              <v:oval id="Oval 440" o:spid="_x0000_s1028" style="position:absolute;left:52452;width:5993;height:60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fgHMEA&#10;AADcAAAADwAAAGRycy9kb3ducmV2LnhtbERPz2vCMBS+D/wfwhO8ramzE6mNUiaCh8GYevD4aJ5t&#10;sHmpTardf78cBjt+fL+L7Whb8aDeG8cK5kkKgrhy2nCt4Hzav65A+ICssXVMCn7Iw3YzeSkw1+7J&#10;3/Q4hlrEEPY5KmhC6HIpfdWQRZ+4jjhyV9dbDBH2tdQ9PmO4beVbmi6lRcOxocGOPhqqbsfBKlh4&#10;8+nu7vSuv9hkO66HxaUkpWbTsVyDCDSGf/Gf+6AVZFmcH8/EI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H4BzBAAAA3AAAAA8AAAAAAAAAAAAAAAAAmAIAAGRycy9kb3du&#10;cmV2LnhtbFBLBQYAAAAABAAEAPUAAACGAwAAAAA=&#10;" filled="f" strokecolor="#548dd4 [1951]" strokeweight="2pt">
                <v:textbox inset="0,0,0,0">
                  <w:txbxContent>
                    <w:p w:rsidR="00E35FEF" w:rsidRDefault="00E35FEF">
                      <w:pPr>
                        <w:jc w:val="center"/>
                        <w:rPr>
                          <w:color w:val="000000"/>
                          <w:sz w:val="32"/>
                          <w:szCs w:val="32"/>
                          <w14:textOutline w14:w="1270" w14:cap="rnd" w14:cmpd="sng" w14:algn="ctr">
                            <w14:noFill/>
                            <w14:prstDash w14:val="solid"/>
                            <w14:bevel/>
                          </w14:textOutline>
                        </w:rPr>
                      </w:pPr>
                      <w:r>
                        <w:rPr>
                          <w:color w:val="000000"/>
                          <w:sz w:val="32"/>
                          <w:szCs w:val="32"/>
                          <w14:textOutline w14:w="1270" w14:cap="rnd" w14:cmpd="sng" w14:algn="ctr">
                            <w14:noFill/>
                            <w14:prstDash w14:val="solid"/>
                            <w14:bevel/>
                          </w14:textOutline>
                        </w:rPr>
                        <w:fldChar w:fldCharType="begin"/>
                      </w:r>
                      <w:r>
                        <w:rPr>
                          <w:color w:val="000000"/>
                          <w:sz w:val="32"/>
                          <w:szCs w:val="32"/>
                          <w14:textOutline w14:w="1270" w14:cap="rnd" w14:cmpd="sng" w14:algn="ctr">
                            <w14:noFill/>
                            <w14:prstDash w14:val="solid"/>
                            <w14:bevel/>
                          </w14:textOutline>
                        </w:rPr>
                        <w:instrText>PAGE   \* MERGEFORMAT</w:instrText>
                      </w:r>
                      <w:r>
                        <w:rPr>
                          <w:color w:val="000000"/>
                          <w:sz w:val="32"/>
                          <w:szCs w:val="32"/>
                          <w14:textOutline w14:w="1270" w14:cap="rnd" w14:cmpd="sng" w14:algn="ctr">
                            <w14:noFill/>
                            <w14:prstDash w14:val="solid"/>
                            <w14:bevel/>
                          </w14:textOutline>
                        </w:rPr>
                        <w:fldChar w:fldCharType="separate"/>
                      </w:r>
                      <w:r w:rsidR="00327DC9">
                        <w:rPr>
                          <w:noProof/>
                          <w:color w:val="000000"/>
                          <w:sz w:val="32"/>
                          <w:szCs w:val="32"/>
                          <w14:textOutline w14:w="1270" w14:cap="rnd" w14:cmpd="sng" w14:algn="ctr">
                            <w14:noFill/>
                            <w14:prstDash w14:val="solid"/>
                            <w14:bevel/>
                          </w14:textOutline>
                        </w:rPr>
                        <w:t>1</w:t>
                      </w:r>
                      <w:r>
                        <w:rPr>
                          <w:color w:val="000000"/>
                          <w:sz w:val="32"/>
                          <w:szCs w:val="32"/>
                          <w14:textOutline w14:w="1270" w14:cap="rnd" w14:cmpd="sng" w14:algn="ctr">
                            <w14:noFill/>
                            <w14:prstDash w14:val="solid"/>
                            <w14:bevel/>
                          </w14:textOutline>
                        </w:rPr>
                        <w:fldChar w:fldCharType="end"/>
                      </w:r>
                    </w:p>
                  </w:txbxContent>
                </v:textbox>
              </v:oval>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2FB" w:rsidRDefault="008642FB" w:rsidP="00E35FEF">
      <w:pPr>
        <w:spacing w:after="0" w:line="240" w:lineRule="auto"/>
      </w:pPr>
      <w:r>
        <w:separator/>
      </w:r>
    </w:p>
  </w:footnote>
  <w:footnote w:type="continuationSeparator" w:id="0">
    <w:p w:rsidR="008642FB" w:rsidRDefault="008642FB" w:rsidP="00E35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434C5"/>
    <w:multiLevelType w:val="hybridMultilevel"/>
    <w:tmpl w:val="FFE80756"/>
    <w:lvl w:ilvl="0" w:tplc="27C897D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BBF71F9"/>
    <w:multiLevelType w:val="hybridMultilevel"/>
    <w:tmpl w:val="02CE0F46"/>
    <w:lvl w:ilvl="0" w:tplc="27C897DA">
      <w:start w:val="1"/>
      <w:numFmt w:val="decimal"/>
      <w:lvlText w:val="%1."/>
      <w:lvlJc w:val="left"/>
      <w:pPr>
        <w:ind w:left="1080" w:hanging="720"/>
      </w:pPr>
      <w:rPr>
        <w:rFonts w:hint="default"/>
      </w:rPr>
    </w:lvl>
    <w:lvl w:ilvl="1" w:tplc="F0A6C8CC">
      <w:start w:val="11"/>
      <w:numFmt w:val="bullet"/>
      <w:lvlText w:val=""/>
      <w:lvlJc w:val="left"/>
      <w:pPr>
        <w:ind w:left="1440" w:hanging="360"/>
      </w:pPr>
      <w:rPr>
        <w:rFonts w:ascii="Symbol" w:eastAsiaTheme="minorHAnsi" w:hAnsi="Symbol" w:cstheme="minorBid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C7C591A"/>
    <w:multiLevelType w:val="hybridMultilevel"/>
    <w:tmpl w:val="E4288212"/>
    <w:lvl w:ilvl="0" w:tplc="27C897DA">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65B0DEB"/>
    <w:multiLevelType w:val="hybridMultilevel"/>
    <w:tmpl w:val="39D27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43B528D"/>
    <w:multiLevelType w:val="hybridMultilevel"/>
    <w:tmpl w:val="89EC8BAE"/>
    <w:lvl w:ilvl="0" w:tplc="27C897DA">
      <w:start w:val="1"/>
      <w:numFmt w:val="decimal"/>
      <w:lvlText w:val="%1."/>
      <w:lvlJc w:val="left"/>
      <w:pPr>
        <w:ind w:left="1647" w:hanging="720"/>
      </w:pPr>
      <w:rPr>
        <w:rFonts w:hint="default"/>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EF"/>
    <w:rsid w:val="0014394D"/>
    <w:rsid w:val="00327DC9"/>
    <w:rsid w:val="006520F8"/>
    <w:rsid w:val="00654398"/>
    <w:rsid w:val="008642FB"/>
    <w:rsid w:val="00993A1B"/>
    <w:rsid w:val="009C432A"/>
    <w:rsid w:val="00C23954"/>
    <w:rsid w:val="00E35FEF"/>
    <w:rsid w:val="00ED3006"/>
    <w:rsid w:val="00F57B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35FE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35FEF"/>
    <w:rPr>
      <w:rFonts w:ascii="Tahoma" w:hAnsi="Tahoma" w:cs="Tahoma"/>
      <w:sz w:val="16"/>
      <w:szCs w:val="16"/>
    </w:rPr>
  </w:style>
  <w:style w:type="paragraph" w:styleId="a4">
    <w:name w:val="header"/>
    <w:basedOn w:val="a"/>
    <w:link w:val="Char0"/>
    <w:uiPriority w:val="99"/>
    <w:unhideWhenUsed/>
    <w:rsid w:val="00E35FEF"/>
    <w:pPr>
      <w:tabs>
        <w:tab w:val="center" w:pos="4153"/>
        <w:tab w:val="right" w:pos="8306"/>
      </w:tabs>
      <w:spacing w:after="0" w:line="240" w:lineRule="auto"/>
    </w:pPr>
  </w:style>
  <w:style w:type="character" w:customStyle="1" w:styleId="Char0">
    <w:name w:val="Κεφαλίδα Char"/>
    <w:basedOn w:val="a0"/>
    <w:link w:val="a4"/>
    <w:uiPriority w:val="99"/>
    <w:rsid w:val="00E35FEF"/>
  </w:style>
  <w:style w:type="paragraph" w:styleId="a5">
    <w:name w:val="footer"/>
    <w:basedOn w:val="a"/>
    <w:link w:val="Char1"/>
    <w:uiPriority w:val="99"/>
    <w:unhideWhenUsed/>
    <w:rsid w:val="00E35FEF"/>
    <w:pPr>
      <w:tabs>
        <w:tab w:val="center" w:pos="4153"/>
        <w:tab w:val="right" w:pos="8306"/>
      </w:tabs>
      <w:spacing w:after="0" w:line="240" w:lineRule="auto"/>
    </w:pPr>
  </w:style>
  <w:style w:type="character" w:customStyle="1" w:styleId="Char1">
    <w:name w:val="Υποσέλιδο Char"/>
    <w:basedOn w:val="a0"/>
    <w:link w:val="a5"/>
    <w:uiPriority w:val="99"/>
    <w:rsid w:val="00E35FEF"/>
  </w:style>
  <w:style w:type="paragraph" w:styleId="a6">
    <w:name w:val="List Paragraph"/>
    <w:basedOn w:val="a"/>
    <w:uiPriority w:val="34"/>
    <w:qFormat/>
    <w:rsid w:val="009C43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35FE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35FEF"/>
    <w:rPr>
      <w:rFonts w:ascii="Tahoma" w:hAnsi="Tahoma" w:cs="Tahoma"/>
      <w:sz w:val="16"/>
      <w:szCs w:val="16"/>
    </w:rPr>
  </w:style>
  <w:style w:type="paragraph" w:styleId="a4">
    <w:name w:val="header"/>
    <w:basedOn w:val="a"/>
    <w:link w:val="Char0"/>
    <w:uiPriority w:val="99"/>
    <w:unhideWhenUsed/>
    <w:rsid w:val="00E35FEF"/>
    <w:pPr>
      <w:tabs>
        <w:tab w:val="center" w:pos="4153"/>
        <w:tab w:val="right" w:pos="8306"/>
      </w:tabs>
      <w:spacing w:after="0" w:line="240" w:lineRule="auto"/>
    </w:pPr>
  </w:style>
  <w:style w:type="character" w:customStyle="1" w:styleId="Char0">
    <w:name w:val="Κεφαλίδα Char"/>
    <w:basedOn w:val="a0"/>
    <w:link w:val="a4"/>
    <w:uiPriority w:val="99"/>
    <w:rsid w:val="00E35FEF"/>
  </w:style>
  <w:style w:type="paragraph" w:styleId="a5">
    <w:name w:val="footer"/>
    <w:basedOn w:val="a"/>
    <w:link w:val="Char1"/>
    <w:uiPriority w:val="99"/>
    <w:unhideWhenUsed/>
    <w:rsid w:val="00E35FEF"/>
    <w:pPr>
      <w:tabs>
        <w:tab w:val="center" w:pos="4153"/>
        <w:tab w:val="right" w:pos="8306"/>
      </w:tabs>
      <w:spacing w:after="0" w:line="240" w:lineRule="auto"/>
    </w:pPr>
  </w:style>
  <w:style w:type="character" w:customStyle="1" w:styleId="Char1">
    <w:name w:val="Υποσέλιδο Char"/>
    <w:basedOn w:val="a0"/>
    <w:link w:val="a5"/>
    <w:uiPriority w:val="99"/>
    <w:rsid w:val="00E35FEF"/>
  </w:style>
  <w:style w:type="paragraph" w:styleId="a6">
    <w:name w:val="List Paragraph"/>
    <w:basedOn w:val="a"/>
    <w:uiPriority w:val="34"/>
    <w:qFormat/>
    <w:rsid w:val="009C4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1143</Words>
  <Characters>6175</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 Καϊμάς</dc:creator>
  <cp:lastModifiedBy>Δημήτρης Καϊμάς</cp:lastModifiedBy>
  <cp:revision>7</cp:revision>
  <dcterms:created xsi:type="dcterms:W3CDTF">2016-03-17T06:36:00Z</dcterms:created>
  <dcterms:modified xsi:type="dcterms:W3CDTF">2016-04-07T09:38:00Z</dcterms:modified>
</cp:coreProperties>
</file>